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7" w:type="dxa"/>
        <w:tblInd w:w="108" w:type="dxa"/>
        <w:tblLayout w:type="fixed"/>
        <w:tblLook w:val="0000"/>
      </w:tblPr>
      <w:tblGrid>
        <w:gridCol w:w="4537"/>
        <w:gridCol w:w="180"/>
        <w:gridCol w:w="5220"/>
      </w:tblGrid>
      <w:tr>
        <w:trPr>
          <w:trHeight w:val="1134"/>
        </w:trPr>
        <w:tc>
          <w:tcPr>
            <w:tcW w:w="4537" w:type="dxa"/>
          </w:tcPr>
          <w:p>
            <w:pPr>
              <w:ind w:right="-144"/>
              <w:jc w:val="center"/>
              <w:rPr>
                <w:bCs/>
                <w:spacing w:val="-20"/>
                <w:sz w:val="24"/>
                <w:szCs w:val="24"/>
              </w:rPr>
            </w:pPr>
            <w:r>
              <w:rPr>
                <w:rFonts w:eastAsia="Times New Roman" w:cs="Times New Roman"/>
                <w:szCs w:val="28"/>
              </w:rPr>
              <w:t> </w:t>
            </w:r>
            <w:r>
              <w:rPr>
                <w:bCs/>
                <w:spacing w:val="-20"/>
                <w:sz w:val="24"/>
                <w:szCs w:val="24"/>
              </w:rPr>
              <w:t>PHÒNG GIÁO DỤC VÀ ĐÀO TẠO QUẬN 12</w:t>
            </w:r>
          </w:p>
          <w:p>
            <w:pPr>
              <w:jc w:val="center"/>
              <w:rPr>
                <w:b/>
                <w:bCs/>
                <w:spacing w:val="-20"/>
                <w:sz w:val="26"/>
                <w:szCs w:val="26"/>
              </w:rPr>
            </w:pPr>
            <w:r>
              <w:rPr>
                <w:b/>
                <w:bCs/>
                <w:spacing w:val="-20"/>
                <w:sz w:val="26"/>
                <w:szCs w:val="26"/>
              </w:rPr>
              <w:t>TRƯỜNG TIỂU HỌC QUỚI  XUÂN</w:t>
            </w:r>
          </w:p>
          <w:p>
            <w:pPr>
              <w:ind w:right="-144"/>
              <w:jc w:val="center"/>
              <w:rPr>
                <w:b/>
                <w:bCs/>
                <w:sz w:val="4"/>
                <w:szCs w:val="26"/>
              </w:rPr>
            </w:pPr>
            <w:r>
              <w:rPr>
                <w:b/>
                <w:bCs/>
                <w:noProof/>
                <w:sz w:val="4"/>
                <w:szCs w:val="26"/>
              </w:rPr>
              <w:pict>
                <v:line id="_x0000_s1026" style="position:absolute;left:0;text-align:left;z-index:251660288" from="76.85pt,2.45pt" to="121.85pt,2.45pt"/>
              </w:pict>
            </w:r>
          </w:p>
          <w:p>
            <w:pPr>
              <w:ind w:right="-144" w:firstLine="459"/>
              <w:rPr>
                <w:sz w:val="26"/>
                <w:szCs w:val="26"/>
              </w:rPr>
            </w:pPr>
            <w:r>
              <w:rPr>
                <w:sz w:val="26"/>
                <w:szCs w:val="26"/>
              </w:rPr>
              <w:t xml:space="preserve">                Số:         /</w:t>
            </w:r>
            <w:r>
              <w:rPr>
                <w:sz w:val="26"/>
                <w:szCs w:val="26"/>
              </w:rPr>
              <w:t>PA</w:t>
            </w:r>
            <w:r>
              <w:rPr>
                <w:sz w:val="26"/>
                <w:szCs w:val="26"/>
              </w:rPr>
              <w:t>-QX</w:t>
            </w:r>
          </w:p>
        </w:tc>
        <w:tc>
          <w:tcPr>
            <w:tcW w:w="5400" w:type="dxa"/>
            <w:gridSpan w:val="2"/>
          </w:tcPr>
          <w:p>
            <w:pPr>
              <w:pStyle w:val="Heading9"/>
              <w:spacing w:before="0" w:after="0"/>
              <w:jc w:val="center"/>
              <w:rPr>
                <w:rFonts w:ascii="Times New Roman" w:hAnsi="Times New Roman" w:cs="Times New Roman"/>
                <w:b/>
                <w:bCs/>
                <w:spacing w:val="-10"/>
                <w:sz w:val="26"/>
                <w:szCs w:val="26"/>
              </w:rPr>
            </w:pPr>
            <w:r>
              <w:rPr>
                <w:rFonts w:ascii="Times New Roman" w:hAnsi="Times New Roman" w:cs="Times New Roman"/>
                <w:b/>
                <w:bCs/>
                <w:spacing w:val="-10"/>
                <w:sz w:val="26"/>
                <w:szCs w:val="26"/>
              </w:rPr>
              <w:t xml:space="preserve">CỘNG HÒA XÃ HỘI CHỦ NGHĨA VIỆT </w:t>
            </w:r>
            <w:smartTag w:uri="urn:schemas-microsoft-com:office:smarttags" w:element="place">
              <w:smartTag w:uri="urn:schemas-microsoft-com:office:smarttags" w:element="country-region">
                <w:r>
                  <w:rPr>
                    <w:rFonts w:ascii="Times New Roman" w:hAnsi="Times New Roman" w:cs="Times New Roman"/>
                    <w:b/>
                    <w:bCs/>
                    <w:spacing w:val="-10"/>
                    <w:sz w:val="26"/>
                    <w:szCs w:val="26"/>
                  </w:rPr>
                  <w:t>NAM</w:t>
                </w:r>
              </w:smartTag>
            </w:smartTag>
          </w:p>
          <w:p>
            <w:pPr>
              <w:ind w:right="-144"/>
              <w:jc w:val="center"/>
              <w:rPr>
                <w:b/>
                <w:bCs/>
              </w:rPr>
            </w:pPr>
            <w:r>
              <w:rPr>
                <w:b/>
                <w:bCs/>
              </w:rPr>
              <w:t>Độc lập - Tự do - Hạnh phúc</w:t>
            </w:r>
          </w:p>
          <w:p>
            <w:pPr>
              <w:ind w:right="-144"/>
              <w:rPr>
                <w:i/>
                <w:iCs/>
                <w:sz w:val="22"/>
                <w:szCs w:val="26"/>
              </w:rPr>
            </w:pPr>
            <w:r>
              <w:rPr>
                <w:b/>
                <w:bCs/>
                <w:noProof/>
              </w:rPr>
              <w:pict>
                <v:shapetype id="_x0000_t32" coordsize="21600,21600" o:spt="32" o:oned="t" path="m,l21600,21600e" filled="f">
                  <v:path arrowok="t" fillok="f" o:connecttype="none"/>
                  <o:lock v:ext="edit" shapetype="t"/>
                </v:shapetype>
                <v:shape id="_x0000_s1027" type="#_x0000_t32" style="position:absolute;left:0;text-align:left;margin-left:43.65pt;margin-top:.25pt;width:180pt;height:0;z-index:251661312" o:connectortype="straight"/>
              </w:pict>
            </w:r>
          </w:p>
          <w:p>
            <w:pPr>
              <w:ind w:right="-144"/>
              <w:rPr>
                <w:i/>
                <w:iCs/>
                <w:sz w:val="26"/>
                <w:szCs w:val="26"/>
              </w:rPr>
            </w:pPr>
            <w:r>
              <w:rPr>
                <w:i/>
                <w:iCs/>
                <w:sz w:val="26"/>
                <w:szCs w:val="26"/>
              </w:rPr>
              <w:t xml:space="preserve">        Quận 12, ngày      tháng </w:t>
            </w:r>
            <w:r>
              <w:rPr>
                <w:i/>
                <w:iCs/>
                <w:sz w:val="26"/>
                <w:szCs w:val="26"/>
              </w:rPr>
              <w:t xml:space="preserve">9 </w:t>
            </w:r>
            <w:r>
              <w:rPr>
                <w:i/>
                <w:iCs/>
                <w:sz w:val="26"/>
                <w:szCs w:val="26"/>
              </w:rPr>
              <w:t>năm 20</w:t>
            </w:r>
            <w:r>
              <w:rPr>
                <w:i/>
                <w:sz w:val="26"/>
                <w:szCs w:val="26"/>
              </w:rPr>
              <w:t>16</w:t>
            </w:r>
          </w:p>
        </w:tc>
      </w:tr>
      <w:tr>
        <w:tc>
          <w:tcPr>
            <w:tcW w:w="4717" w:type="dxa"/>
            <w:gridSpan w:val="2"/>
          </w:tcPr>
          <w:p>
            <w:pPr>
              <w:jc w:val="center"/>
            </w:pPr>
          </w:p>
        </w:tc>
        <w:tc>
          <w:tcPr>
            <w:tcW w:w="5220" w:type="dxa"/>
          </w:tcPr>
          <w:p>
            <w:pPr>
              <w:ind w:right="-144"/>
              <w:rPr>
                <w:i/>
                <w:iCs/>
                <w:sz w:val="26"/>
                <w:szCs w:val="26"/>
                <w:vertAlign w:val="superscript"/>
              </w:rPr>
            </w:pPr>
          </w:p>
        </w:tc>
      </w:tr>
    </w:tbl>
    <w:p>
      <w:pPr>
        <w:spacing w:line="240" w:lineRule="atLeast"/>
        <w:ind w:left="432"/>
        <w:jc w:val="center"/>
        <w:rPr>
          <w:rFonts w:eastAsia="Times New Roman" w:cs="Times New Roman"/>
          <w:b/>
          <w:sz w:val="32"/>
          <w:szCs w:val="32"/>
        </w:rPr>
      </w:pPr>
      <w:r>
        <w:rPr>
          <w:rFonts w:eastAsia="Times New Roman" w:cs="Times New Roman"/>
          <w:b/>
          <w:sz w:val="32"/>
          <w:szCs w:val="32"/>
        </w:rPr>
        <w:t>PHƯƠNG ÁN</w:t>
      </w:r>
    </w:p>
    <w:p>
      <w:pPr>
        <w:spacing w:line="240" w:lineRule="atLeast"/>
        <w:ind w:left="432"/>
        <w:jc w:val="center"/>
        <w:rPr>
          <w:rFonts w:eastAsia="Times New Roman" w:cs="Times New Roman"/>
          <w:b/>
          <w:sz w:val="32"/>
          <w:szCs w:val="32"/>
        </w:rPr>
      </w:pPr>
      <w:r>
        <w:rPr>
          <w:rFonts w:eastAsia="Times New Roman" w:cs="Times New Roman"/>
          <w:b/>
          <w:sz w:val="32"/>
          <w:szCs w:val="32"/>
        </w:rPr>
        <w:t>XỬ LÝ TÌNH HUỐNG XẢY RA NGỘ ĐỘC THỰC PHẨM</w:t>
      </w:r>
    </w:p>
    <w:p>
      <w:pPr>
        <w:spacing w:line="240" w:lineRule="atLeast"/>
        <w:ind w:left="432"/>
        <w:jc w:val="center"/>
        <w:rPr>
          <w:rFonts w:eastAsia="Times New Roman" w:cs="Times New Roman"/>
          <w:b/>
          <w:sz w:val="32"/>
          <w:szCs w:val="32"/>
        </w:rPr>
      </w:pPr>
      <w:r>
        <w:rPr>
          <w:rFonts w:eastAsia="Times New Roman" w:cs="Times New Roman"/>
          <w:b/>
          <w:sz w:val="32"/>
          <w:szCs w:val="32"/>
        </w:rPr>
        <w:t>Năm học 2016-2017</w:t>
      </w:r>
    </w:p>
    <w:p>
      <w:pPr>
        <w:spacing w:line="240" w:lineRule="atLeast"/>
        <w:ind w:left="432"/>
        <w:jc w:val="center"/>
        <w:rPr>
          <w:rFonts w:eastAsia="Times New Roman" w:cs="Times New Roman"/>
          <w:b/>
          <w:sz w:val="32"/>
          <w:szCs w:val="32"/>
        </w:rPr>
      </w:pPr>
    </w:p>
    <w:p>
      <w:pPr>
        <w:spacing w:line="360" w:lineRule="auto"/>
        <w:ind w:firstLine="545"/>
        <w:rPr>
          <w:rFonts w:eastAsia="Calibri" w:cs="Times New Roman"/>
          <w:color w:val="000000"/>
          <w:szCs w:val="28"/>
          <w:lang w:val="nl-NL"/>
        </w:rPr>
      </w:pPr>
      <w:r>
        <w:rPr>
          <w:rFonts w:eastAsia="Times New Roman" w:cs="Times New Roman"/>
          <w:szCs w:val="28"/>
        </w:rPr>
        <w:tab/>
      </w:r>
      <w:r>
        <w:rPr>
          <w:rFonts w:eastAsia="Calibri" w:cs="Times New Roman"/>
          <w:color w:val="000000"/>
          <w:szCs w:val="28"/>
          <w:lang w:val="nl-NL"/>
        </w:rPr>
        <w:t>Căn cứ vào phương hướng hoạt động y tế học đường năm học 2016-2017 của Phòng Giáo dục và Đào tạo Quận 12;</w:t>
      </w:r>
    </w:p>
    <w:p>
      <w:pPr>
        <w:spacing w:line="360" w:lineRule="auto"/>
        <w:ind w:firstLine="545"/>
        <w:rPr>
          <w:rFonts w:eastAsia="Calibri" w:cs="Times New Roman"/>
          <w:color w:val="000000"/>
          <w:szCs w:val="28"/>
          <w:lang w:val="nl-NL"/>
        </w:rPr>
      </w:pPr>
      <w:r>
        <w:rPr>
          <w:rFonts w:eastAsia="Calibri" w:cs="Times New Roman"/>
          <w:color w:val="000000"/>
          <w:szCs w:val="28"/>
          <w:lang w:val="nl-NL"/>
        </w:rPr>
        <w:t xml:space="preserve">   Căn cứ vào tình hình thực tế của đơn vị; </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Trường Tiểu học Quới Xuân xây dựng phương án xử lý khi xảy ra ngộ độc thực phẩm trong nhà trường như sau :</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I. Mục đích yêu cầu</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Đề phòng ngộ độc thực phẩm xảy ra trong nhà trường. Hạn chế tối đa không để xảy ra bất cứ trường hợp ngộ độc nào gây ảnh hưởng sức khoẻ học sinh và công tác giảng dạy của nhà trường.</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Xử lý kịp thời khi có sự cố ngộ độc thực phẩm xảy ra nhằm tránh hậu quả xấu.</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Có sự phân công, tổ chức hợp lý, phối hợp nhịp nhàng khi giải quyết sự cố ngộ độc.</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Triển khai kế hoạch phòng chống ngộ độc thực phẩm đến toàn thể CB-GV-CNV và PHHS biết để cùng phối hợp tốt công tác.</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II. Đặc điểm tình hình</w:t>
      </w:r>
    </w:p>
    <w:p>
      <w:pPr>
        <w:spacing w:line="360" w:lineRule="auto"/>
        <w:rPr>
          <w:rFonts w:eastAsia="Times New Roman" w:cs="Times New Roman"/>
          <w:szCs w:val="28"/>
        </w:rPr>
      </w:pPr>
      <w:r>
        <w:rPr>
          <w:rFonts w:eastAsia="Calibri" w:cs="Times New Roman"/>
          <w:b/>
          <w:color w:val="000000"/>
          <w:szCs w:val="28"/>
          <w:lang w:val="nl-NL"/>
        </w:rPr>
        <w:tab/>
      </w:r>
      <w:r>
        <w:rPr>
          <w:rFonts w:cs="Times New Roman"/>
          <w:szCs w:val="28"/>
        </w:rPr>
        <w:t>Năm học 2016-2017, trường có 33 lớp tổng số học sinh 1450 em, trong đó học sinh học 2 buổi/ngày là 19 lớp với 794 em, học 1 buổi/ngày là 14 lớp với 656 em; tổng số CB, GV, NV là 65, trong đó cán bộ quản lí là 03, giáo viên là 48, nhân viên là 14.</w:t>
      </w:r>
    </w:p>
    <w:p>
      <w:pPr>
        <w:spacing w:line="360" w:lineRule="auto"/>
        <w:ind w:firstLine="545"/>
        <w:rPr>
          <w:rFonts w:eastAsia="Calibri" w:cs="Times New Roman"/>
          <w:color w:val="000000"/>
          <w:szCs w:val="28"/>
          <w:lang w:val="nl-NL"/>
        </w:rPr>
      </w:pPr>
      <w:r>
        <w:rPr>
          <w:rFonts w:eastAsia="Calibri" w:cs="Times New Roman"/>
          <w:b/>
          <w:color w:val="000000"/>
          <w:szCs w:val="28"/>
          <w:lang w:val="nl-NL"/>
        </w:rPr>
        <w:t>III. Điều kiện tổ chức</w:t>
      </w:r>
      <w:r>
        <w:rPr>
          <w:rFonts w:eastAsia="Calibri" w:cs="Times New Roman"/>
          <w:color w:val="000000"/>
          <w:szCs w:val="28"/>
          <w:lang w:val="nl-NL"/>
        </w:rPr>
        <w:tab/>
      </w:r>
    </w:p>
    <w:p>
      <w:pPr>
        <w:spacing w:line="360" w:lineRule="auto"/>
        <w:ind w:firstLine="545"/>
        <w:rPr>
          <w:rFonts w:eastAsia="Calibri" w:cs="Times New Roman"/>
          <w:color w:val="000000"/>
          <w:szCs w:val="28"/>
          <w:lang w:val="nl-NL"/>
        </w:rPr>
      </w:pPr>
      <w:r>
        <w:rPr>
          <w:rFonts w:eastAsia="Calibri" w:cs="Times New Roman"/>
          <w:color w:val="000000"/>
          <w:szCs w:val="28"/>
          <w:lang w:val="nl-NL"/>
        </w:rPr>
        <w:t>Nhân viên y tế trực thường xuyên trong giờ học sinh ở tại trường.</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Tủ thuốc sơ cấp cứu tại lớp học và phòng y tế 48m</w:t>
      </w:r>
      <w:r>
        <w:rPr>
          <w:rFonts w:eastAsia="Calibri" w:cs="Times New Roman"/>
          <w:color w:val="000000"/>
          <w:szCs w:val="28"/>
          <w:vertAlign w:val="superscript"/>
          <w:lang w:val="nl-NL"/>
        </w:rPr>
        <w:t>2</w:t>
      </w:r>
      <w:r>
        <w:rPr>
          <w:rFonts w:eastAsia="Calibri" w:cs="Times New Roman"/>
          <w:color w:val="000000"/>
          <w:szCs w:val="28"/>
          <w:lang w:val="nl-NL"/>
        </w:rPr>
        <w:t>, phòng giáo viên cho học sinh nghỉ tạm thời để chuyển học sinh đến bệnh viện khi có sự cố xảy ra.</w:t>
      </w:r>
    </w:p>
    <w:p>
      <w:pPr>
        <w:spacing w:line="360" w:lineRule="auto"/>
        <w:ind w:firstLine="545"/>
        <w:rPr>
          <w:rFonts w:eastAsia="Calibri" w:cs="Times New Roman"/>
          <w:color w:val="000000"/>
          <w:szCs w:val="28"/>
          <w:lang w:val="nl-NL"/>
        </w:rPr>
      </w:pPr>
      <w:r>
        <w:rPr>
          <w:rFonts w:eastAsia="Calibri" w:cs="Times New Roman"/>
          <w:color w:val="000000"/>
          <w:szCs w:val="28"/>
          <w:lang w:val="nl-NL"/>
        </w:rPr>
        <w:tab/>
        <w:t>Mỗi lớp có 1 giáo viên chủ nhiệm và 1 bảo mẫu túc trực theo dõi sức khoẻ.</w:t>
      </w:r>
    </w:p>
    <w:p>
      <w:pPr>
        <w:spacing w:line="360" w:lineRule="auto"/>
        <w:ind w:firstLine="545"/>
        <w:rPr>
          <w:rFonts w:eastAsia="Calibri" w:cs="Times New Roman"/>
          <w:color w:val="000000"/>
          <w:szCs w:val="28"/>
          <w:lang w:val="nl-NL"/>
        </w:rPr>
      </w:pPr>
      <w:r>
        <w:rPr>
          <w:rFonts w:eastAsia="Calibri" w:cs="Times New Roman"/>
          <w:color w:val="000000"/>
          <w:szCs w:val="28"/>
          <w:lang w:val="nl-NL"/>
        </w:rPr>
        <w:lastRenderedPageBreak/>
        <w:tab/>
        <w:t>Bộ phận văn phòng có 03 BGH trực chỉ đạo và 02 bảo vệ, 5 nhân viên.</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IV. Cách thức tổ chức</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1. Lưu mẫu thức ăn để tìm hiểu nguyên nhân ngộ độc và có cách điều trị:</w:t>
      </w:r>
    </w:p>
    <w:p>
      <w:pPr>
        <w:spacing w:line="360" w:lineRule="auto"/>
        <w:ind w:firstLine="545"/>
        <w:rPr>
          <w:rFonts w:eastAsia="Calibri" w:cs="Times New Roman"/>
          <w:color w:val="000000"/>
          <w:szCs w:val="28"/>
          <w:lang w:val="nl-NL"/>
        </w:rPr>
      </w:pPr>
      <w:r>
        <w:rPr>
          <w:rFonts w:eastAsia="Calibri" w:cs="Times New Roman"/>
          <w:color w:val="000000"/>
          <w:szCs w:val="28"/>
          <w:lang w:val="nl-NL"/>
        </w:rPr>
        <w:t>Chất lượng: Mẫu thức ăn lấy phải đảm bảo vô khuẩn và được bảo quản cho đến khi xét nghiệm mà thức ăn không bị thay đổi hay biến chất, có tủ lạnh để bảo quản mẫu thức ăn từ 0</w:t>
      </w:r>
      <w:r>
        <w:rPr>
          <w:rFonts w:eastAsia="Calibri" w:cs="Times New Roman"/>
          <w:color w:val="000000"/>
          <w:szCs w:val="28"/>
          <w:vertAlign w:val="superscript"/>
          <w:lang w:val="nl-NL"/>
        </w:rPr>
        <w:t>0</w:t>
      </w:r>
      <w:r>
        <w:rPr>
          <w:rFonts w:eastAsia="Calibri" w:cs="Times New Roman"/>
          <w:color w:val="000000"/>
          <w:szCs w:val="28"/>
          <w:lang w:val="nl-NL"/>
        </w:rPr>
        <w:t>C đến 5</w:t>
      </w:r>
      <w:r>
        <w:rPr>
          <w:rFonts w:eastAsia="Calibri" w:cs="Times New Roman"/>
          <w:color w:val="000000"/>
          <w:szCs w:val="28"/>
          <w:vertAlign w:val="superscript"/>
          <w:lang w:val="nl-NL"/>
        </w:rPr>
        <w:t>0</w:t>
      </w:r>
      <w:r>
        <w:rPr>
          <w:rFonts w:eastAsia="Calibri" w:cs="Times New Roman"/>
          <w:color w:val="000000"/>
          <w:szCs w:val="28"/>
          <w:lang w:val="nl-NL"/>
        </w:rPr>
        <w:t>C</w:t>
      </w:r>
    </w:p>
    <w:p>
      <w:pPr>
        <w:spacing w:line="360" w:lineRule="auto"/>
        <w:ind w:firstLine="545"/>
        <w:rPr>
          <w:rFonts w:eastAsia="Calibri" w:cs="Times New Roman"/>
          <w:color w:val="000000"/>
          <w:szCs w:val="28"/>
          <w:lang w:val="nl-NL"/>
        </w:rPr>
      </w:pPr>
      <w:r>
        <w:rPr>
          <w:rFonts w:eastAsia="Calibri" w:cs="Times New Roman"/>
          <w:color w:val="000000"/>
          <w:szCs w:val="28"/>
          <w:lang w:val="nl-NL"/>
        </w:rPr>
        <w:t>Dụng cụ đựng thức ăn bằng inox có nắp đậy kín. Lấy bất kì phần thức ăn nào trong số phần thức ăn đã giao. Niêm phong bằng giấy mỏng băng dính có chữ kí của đại diện đơn vị cung cấp thức ăn và nhân viên y tế của trường.</w:t>
      </w:r>
    </w:p>
    <w:p>
      <w:pPr>
        <w:spacing w:line="360" w:lineRule="auto"/>
        <w:ind w:firstLine="545"/>
        <w:rPr>
          <w:rFonts w:eastAsia="Calibri" w:cs="Times New Roman"/>
          <w:color w:val="000000"/>
          <w:szCs w:val="28"/>
          <w:lang w:val="nl-NL"/>
        </w:rPr>
      </w:pPr>
      <w:r>
        <w:rPr>
          <w:rFonts w:eastAsia="Calibri" w:cs="Times New Roman"/>
          <w:color w:val="000000"/>
          <w:szCs w:val="28"/>
          <w:lang w:val="nl-NL"/>
        </w:rPr>
        <w:t>Cán bộ quản lý phụ trách bán trú hoặc bảo mẫu nếm trước các thức ăn, nếu có dấu hiệu lạ phải báo ngưng sử dụng thức ăn để giải quyết.</w:t>
      </w:r>
    </w:p>
    <w:p>
      <w:pPr>
        <w:spacing w:line="360" w:lineRule="auto"/>
        <w:ind w:firstLine="545"/>
        <w:rPr>
          <w:rFonts w:eastAsia="Calibri" w:cs="Times New Roman"/>
          <w:color w:val="000000"/>
          <w:szCs w:val="28"/>
          <w:lang w:val="nl-NL"/>
        </w:rPr>
      </w:pPr>
      <w:r>
        <w:rPr>
          <w:rFonts w:eastAsia="Calibri" w:cs="Times New Roman"/>
          <w:color w:val="000000"/>
          <w:szCs w:val="28"/>
          <w:lang w:val="nl-NL"/>
        </w:rPr>
        <w:t>Mẫu thức ăn được lưu trước khi học sinh ăn. Mẫu được lưu 2 phần, nếu có xảy ra ngộ độc nhân viên y tế giao mẫu cho 2 cơ quan: Trung tâm Y tế Dự phòng Thành phố - Trung tâm Y tế Dự phòng quận có chữ kí nhận.</w:t>
      </w:r>
    </w:p>
    <w:p>
      <w:pPr>
        <w:spacing w:line="360" w:lineRule="auto"/>
        <w:ind w:firstLine="545"/>
        <w:rPr>
          <w:rFonts w:eastAsia="Calibri" w:cs="Times New Roman"/>
          <w:color w:val="000000"/>
          <w:szCs w:val="28"/>
          <w:lang w:val="nl-NL"/>
        </w:rPr>
      </w:pPr>
      <w:r>
        <w:rPr>
          <w:rFonts w:eastAsia="Calibri" w:cs="Times New Roman"/>
          <w:color w:val="000000"/>
          <w:szCs w:val="28"/>
          <w:lang w:val="nl-NL"/>
        </w:rPr>
        <w:t>Thời gian lưu mẫu thức ăn đảm bảo đến 24 giờ sau khi ăn.</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2. Phát hiện kịp thời trường hợp ngộ độc:</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Bảo mẫu và Giáo viên chủ nhiệm theo dõi các trường hợp sau để đưa ngay học sinh xuống phòng y tế:</w:t>
      </w:r>
    </w:p>
    <w:p>
      <w:pPr>
        <w:spacing w:line="360" w:lineRule="auto"/>
        <w:ind w:firstLine="545"/>
        <w:rPr>
          <w:rFonts w:eastAsia="Calibri" w:cs="Times New Roman"/>
          <w:color w:val="000000"/>
          <w:szCs w:val="28"/>
          <w:lang w:val="nl-NL"/>
        </w:rPr>
      </w:pPr>
      <w:r>
        <w:rPr>
          <w:rFonts w:eastAsia="Calibri" w:cs="Times New Roman"/>
          <w:color w:val="000000"/>
          <w:szCs w:val="28"/>
          <w:lang w:val="nl-NL"/>
        </w:rPr>
        <w:t>Học sinh ăn phải thức ăn bị nhiễm khuẩn: sau khi ăn bị nôn, chóng mặt, tiêu chảy và có thể bị đau bụng quằn quại.</w:t>
      </w:r>
    </w:p>
    <w:p>
      <w:pPr>
        <w:spacing w:line="360" w:lineRule="auto"/>
        <w:ind w:firstLine="545"/>
        <w:rPr>
          <w:rFonts w:eastAsia="Calibri" w:cs="Times New Roman"/>
          <w:color w:val="000000"/>
          <w:szCs w:val="28"/>
          <w:lang w:val="nl-NL"/>
        </w:rPr>
      </w:pPr>
      <w:r>
        <w:rPr>
          <w:rFonts w:eastAsia="Calibri" w:cs="Times New Roman"/>
          <w:color w:val="000000"/>
          <w:szCs w:val="28"/>
          <w:lang w:val="nl-NL"/>
        </w:rPr>
        <w:t>Xem xét có dấu  hiệu xảy ra loại trừ các trường hợp đơn lẻ xảy ra do thức ăn sáng CMHS tự mua, tách ngay học sinh xuống phòng y tế để tránh hiện tượng lây lan do tâm lý.</w:t>
      </w:r>
    </w:p>
    <w:p>
      <w:pPr>
        <w:spacing w:line="360" w:lineRule="auto"/>
        <w:ind w:firstLine="545"/>
        <w:rPr>
          <w:rFonts w:eastAsia="Calibri" w:cs="Times New Roman"/>
          <w:color w:val="000000"/>
          <w:szCs w:val="28"/>
          <w:lang w:val="nl-NL"/>
        </w:rPr>
      </w:pPr>
      <w:r>
        <w:rPr>
          <w:rFonts w:eastAsia="Calibri" w:cs="Times New Roman"/>
          <w:color w:val="000000"/>
          <w:szCs w:val="28"/>
          <w:lang w:val="nl-NL"/>
        </w:rPr>
        <w:t> Nếu xảy ra đồng thời trên nhiều em phải báo toàn trường thực hiện phương án dự phòng.</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3. Xử lí khi có ngộ độc:</w:t>
      </w:r>
    </w:p>
    <w:p>
      <w:pPr>
        <w:spacing w:line="360" w:lineRule="auto"/>
        <w:ind w:firstLine="545"/>
        <w:rPr>
          <w:rFonts w:eastAsia="Calibri" w:cs="Times New Roman"/>
          <w:color w:val="000000"/>
          <w:szCs w:val="28"/>
          <w:lang w:val="nl-NL"/>
        </w:rPr>
      </w:pPr>
      <w:r>
        <w:rPr>
          <w:rFonts w:eastAsia="Calibri" w:cs="Times New Roman"/>
          <w:color w:val="000000"/>
          <w:szCs w:val="28"/>
          <w:lang w:val="nl-NL"/>
        </w:rPr>
        <w:t>Đưa ngay học sinh có dấu hiệu ngộ độc xuống phòng y tế, bố trí đủ chỗ cho học sinh nằm theo dõi. Bù nước, điện giải ( oresol, hydrite ). Sau đó đưa học sinh đến bệnh viện.</w:t>
      </w:r>
    </w:p>
    <w:p>
      <w:pPr>
        <w:spacing w:line="360" w:lineRule="auto"/>
        <w:ind w:firstLine="545"/>
        <w:rPr>
          <w:rFonts w:eastAsia="Calibri" w:cs="Times New Roman"/>
          <w:color w:val="000000"/>
          <w:szCs w:val="28"/>
          <w:lang w:val="nl-NL"/>
        </w:rPr>
      </w:pPr>
      <w:r>
        <w:rPr>
          <w:rFonts w:eastAsia="Calibri" w:cs="Times New Roman"/>
          <w:color w:val="000000"/>
          <w:szCs w:val="28"/>
          <w:lang w:val="nl-NL"/>
        </w:rPr>
        <w:t>Trong trường hợp xảy ra hàng loạt, gọi các số điện thoại sau để được tiếp ứng:</w:t>
      </w:r>
    </w:p>
    <w:p>
      <w:pPr>
        <w:spacing w:line="360" w:lineRule="auto"/>
        <w:ind w:firstLine="545"/>
        <w:rPr>
          <w:rFonts w:eastAsia="Calibri" w:cs="Times New Roman"/>
          <w:color w:val="000000"/>
          <w:szCs w:val="28"/>
          <w:lang w:val="nl-NL"/>
        </w:rPr>
      </w:pPr>
      <w:r>
        <w:rPr>
          <w:rFonts w:eastAsia="Calibri" w:cs="Times New Roman"/>
          <w:color w:val="000000"/>
          <w:szCs w:val="28"/>
          <w:lang w:val="nl-NL"/>
        </w:rPr>
        <w:lastRenderedPageBreak/>
        <w:t>+ Cấp cứu 115, Trung tâm Y tế Quận 12: 2502632 để cấp cứu, di chuyển đến bệnh viện.</w:t>
      </w:r>
    </w:p>
    <w:p>
      <w:pPr>
        <w:spacing w:line="360" w:lineRule="auto"/>
        <w:ind w:firstLine="545"/>
        <w:rPr>
          <w:rFonts w:eastAsia="Calibri" w:cs="Times New Roman"/>
          <w:color w:val="000000"/>
          <w:szCs w:val="28"/>
          <w:lang w:val="nl-NL"/>
        </w:rPr>
      </w:pPr>
      <w:r>
        <w:rPr>
          <w:rFonts w:eastAsia="Calibri" w:cs="Times New Roman"/>
          <w:color w:val="000000"/>
          <w:szCs w:val="28"/>
          <w:lang w:val="nl-NL"/>
        </w:rPr>
        <w:t>+ Gọi công an 113, công an Quận, công an Phường để giải quyết an ninh trật tự.</w:t>
      </w:r>
    </w:p>
    <w:p>
      <w:pPr>
        <w:spacing w:line="360" w:lineRule="auto"/>
        <w:ind w:firstLine="545"/>
        <w:rPr>
          <w:rFonts w:eastAsia="Calibri" w:cs="Times New Roman"/>
          <w:color w:val="000000"/>
          <w:szCs w:val="28"/>
          <w:lang w:val="nl-NL"/>
        </w:rPr>
      </w:pPr>
      <w:r>
        <w:rPr>
          <w:rFonts w:eastAsia="Calibri" w:cs="Times New Roman"/>
          <w:color w:val="000000"/>
          <w:szCs w:val="28"/>
          <w:lang w:val="nl-NL"/>
        </w:rPr>
        <w:t>+ Báo lãnh đạo Phòng Giáo dục và Đào tạo theo số báo cáo nhanh:</w:t>
      </w:r>
    </w:p>
    <w:p>
      <w:pPr>
        <w:spacing w:line="360" w:lineRule="auto"/>
        <w:ind w:firstLine="545"/>
        <w:rPr>
          <w:rFonts w:eastAsia="Calibri" w:cs="Times New Roman"/>
          <w:color w:val="000000"/>
          <w:szCs w:val="28"/>
          <w:lang w:val="nl-NL"/>
        </w:rPr>
      </w:pPr>
      <w:r>
        <w:rPr>
          <w:rFonts w:eastAsia="Calibri" w:cs="Times New Roman"/>
          <w:color w:val="000000"/>
          <w:szCs w:val="28"/>
          <w:lang w:val="nl-NL"/>
        </w:rPr>
        <w:t>            Trưởng phòng           : Thầy Khưu Manh Hùng   0909593036</w:t>
      </w:r>
    </w:p>
    <w:p>
      <w:pPr>
        <w:spacing w:line="360" w:lineRule="auto"/>
        <w:ind w:firstLine="545"/>
        <w:rPr>
          <w:rFonts w:eastAsia="Calibri" w:cs="Times New Roman"/>
          <w:color w:val="000000"/>
          <w:szCs w:val="28"/>
          <w:lang w:val="nl-NL"/>
        </w:rPr>
      </w:pPr>
      <w:r>
        <w:rPr>
          <w:rFonts w:eastAsia="Calibri" w:cs="Times New Roman"/>
          <w:color w:val="000000"/>
          <w:szCs w:val="28"/>
          <w:lang w:val="nl-NL"/>
        </w:rPr>
        <w:t>            Phó trưởng phòng     : Cô Nguyễn Thị Minh Thảo       0937999081</w:t>
      </w:r>
    </w:p>
    <w:p>
      <w:pPr>
        <w:spacing w:line="360" w:lineRule="auto"/>
        <w:ind w:firstLine="545"/>
        <w:rPr>
          <w:rFonts w:eastAsia="Calibri" w:cs="Times New Roman"/>
          <w:color w:val="000000"/>
          <w:szCs w:val="28"/>
          <w:lang w:val="nl-NL"/>
        </w:rPr>
      </w:pPr>
      <w:r>
        <w:rPr>
          <w:rFonts w:eastAsia="Calibri" w:cs="Times New Roman"/>
          <w:color w:val="000000"/>
          <w:szCs w:val="28"/>
          <w:lang w:val="nl-NL"/>
        </w:rPr>
        <w:t>Điều hành phương tiện vận chuyển học sinh đến các bệnh viện:</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Bằng xe cấp cứu của 115. Trong trường hợp số đông gọi tiếp xe của Trung tâm Y tế Quận 12 và huy động Taxi 08 38 11 11 11 – 08 38 27 27 27 -  08 38 38 38</w:t>
      </w:r>
    </w:p>
    <w:p>
      <w:pPr>
        <w:spacing w:line="360" w:lineRule="auto"/>
        <w:ind w:firstLine="545"/>
        <w:rPr>
          <w:rFonts w:eastAsia="Calibri" w:cs="Times New Roman"/>
          <w:color w:val="000000"/>
          <w:szCs w:val="28"/>
          <w:lang w:val="nl-NL"/>
        </w:rPr>
      </w:pPr>
      <w:r>
        <w:rPr>
          <w:rFonts w:eastAsia="Calibri" w:cs="Times New Roman"/>
          <w:color w:val="000000"/>
          <w:szCs w:val="28"/>
          <w:lang w:val="nl-NL"/>
        </w:rPr>
        <w:t>+ Phân công bảo mẫu theo các nhóm học sinh từng bệnh và thực hiện thông tin liên lạc phản hồi.</w:t>
      </w:r>
    </w:p>
    <w:p>
      <w:pPr>
        <w:spacing w:line="360" w:lineRule="auto"/>
        <w:ind w:firstLine="545"/>
        <w:rPr>
          <w:rFonts w:eastAsia="Calibri" w:cs="Times New Roman"/>
          <w:color w:val="000000"/>
          <w:szCs w:val="28"/>
          <w:lang w:val="nl-NL"/>
        </w:rPr>
      </w:pPr>
      <w:r>
        <w:rPr>
          <w:rFonts w:eastAsia="Calibri" w:cs="Times New Roman"/>
          <w:color w:val="000000"/>
          <w:szCs w:val="28"/>
          <w:lang w:val="nl-NL"/>
        </w:rPr>
        <w:t>Điều hành việc chuyển học sinh đến bệnh viện:</w:t>
      </w:r>
    </w:p>
    <w:p>
      <w:pPr>
        <w:spacing w:line="360" w:lineRule="auto"/>
        <w:ind w:firstLine="545"/>
        <w:rPr>
          <w:rFonts w:eastAsia="Calibri" w:cs="Times New Roman"/>
          <w:color w:val="000000"/>
          <w:szCs w:val="28"/>
          <w:lang w:val="nl-NL"/>
        </w:rPr>
      </w:pPr>
      <w:r>
        <w:rPr>
          <w:rFonts w:eastAsia="Calibri" w:cs="Times New Roman"/>
          <w:color w:val="000000"/>
          <w:szCs w:val="28"/>
          <w:lang w:val="nl-NL"/>
        </w:rPr>
        <w:t>Chuyển trước số học sinh có dấu hiệu nặng, cử bảo mẫu hoặc nhân viên đi cùng để theo dõi báo cáo. Các bệnh viện chuyển đến:</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Quận 12</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Hóc Môn</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Gò Vấp</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115</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Nhân Dân Gia Định</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Bệnh viện 175</w:t>
      </w:r>
    </w:p>
    <w:p>
      <w:pPr>
        <w:spacing w:line="360" w:lineRule="auto"/>
        <w:ind w:firstLine="545"/>
        <w:rPr>
          <w:rFonts w:eastAsia="Calibri" w:cs="Times New Roman"/>
          <w:color w:val="000000"/>
          <w:szCs w:val="28"/>
          <w:lang w:val="nl-NL"/>
        </w:rPr>
      </w:pPr>
      <w:r>
        <w:rPr>
          <w:rFonts w:eastAsia="Calibri" w:cs="Times New Roman"/>
          <w:color w:val="000000"/>
          <w:szCs w:val="28"/>
          <w:lang w:val="nl-NL"/>
        </w:rPr>
        <w:t>+ Phân công người theo dõi và cập nhật danh sách học sinh tại bảng thông báo để CMHS theo dõi.</w:t>
      </w:r>
    </w:p>
    <w:p>
      <w:pPr>
        <w:spacing w:line="360" w:lineRule="auto"/>
        <w:ind w:firstLine="545"/>
        <w:rPr>
          <w:rFonts w:eastAsia="Calibri" w:cs="Times New Roman"/>
          <w:color w:val="000000"/>
          <w:szCs w:val="28"/>
          <w:lang w:val="nl-NL"/>
        </w:rPr>
      </w:pPr>
      <w:r>
        <w:rPr>
          <w:rFonts w:eastAsia="Calibri" w:cs="Times New Roman"/>
          <w:color w:val="000000"/>
          <w:szCs w:val="28"/>
          <w:lang w:val="nl-NL"/>
        </w:rPr>
        <w:t>+ Bố trí người giải thích, hướng dẫn CMHS.</w:t>
      </w:r>
    </w:p>
    <w:p>
      <w:pPr>
        <w:spacing w:line="360" w:lineRule="auto"/>
        <w:ind w:firstLine="545"/>
        <w:rPr>
          <w:rFonts w:eastAsia="Calibri" w:cs="Times New Roman"/>
          <w:color w:val="000000"/>
          <w:szCs w:val="28"/>
          <w:lang w:val="nl-NL"/>
        </w:rPr>
      </w:pPr>
      <w:r>
        <w:rPr>
          <w:rFonts w:eastAsia="Calibri" w:cs="Times New Roman"/>
          <w:color w:val="000000"/>
          <w:szCs w:val="28"/>
          <w:lang w:val="nl-NL"/>
        </w:rPr>
        <w:t>+ Bố trí người kiểm tra các vị trí, các tầng lầu để phát hiện tất cả học sinh bị ngộ độc.</w:t>
      </w:r>
    </w:p>
    <w:p>
      <w:pPr>
        <w:spacing w:line="360" w:lineRule="auto"/>
        <w:ind w:firstLine="545"/>
        <w:rPr>
          <w:rFonts w:eastAsia="Calibri" w:cs="Times New Roman"/>
          <w:color w:val="000000"/>
          <w:szCs w:val="28"/>
          <w:lang w:val="nl-NL"/>
        </w:rPr>
      </w:pPr>
      <w:r>
        <w:rPr>
          <w:rFonts w:eastAsia="Calibri" w:cs="Times New Roman"/>
          <w:color w:val="000000"/>
          <w:szCs w:val="28"/>
          <w:lang w:val="nl-NL"/>
        </w:rPr>
        <w:t>Điều hành quản lí và theo dõi học sinh tại chỗ:</w:t>
      </w:r>
    </w:p>
    <w:p>
      <w:pPr>
        <w:spacing w:line="360" w:lineRule="auto"/>
        <w:ind w:firstLine="545"/>
        <w:rPr>
          <w:rFonts w:eastAsia="Calibri" w:cs="Times New Roman"/>
          <w:color w:val="000000"/>
          <w:szCs w:val="28"/>
          <w:lang w:val="nl-NL"/>
        </w:rPr>
      </w:pPr>
      <w:r>
        <w:rPr>
          <w:rFonts w:eastAsia="Calibri" w:cs="Times New Roman"/>
          <w:color w:val="000000"/>
          <w:szCs w:val="28"/>
          <w:lang w:val="nl-NL"/>
        </w:rPr>
        <w:t>+ Bố trí giáo viên quản lí các học sinh còn lại và tiếp tục theo dõi.</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V. Phân công cụ thể</w:t>
      </w:r>
    </w:p>
    <w:p>
      <w:pPr>
        <w:spacing w:line="360" w:lineRule="auto"/>
        <w:ind w:firstLine="545"/>
        <w:rPr>
          <w:rFonts w:eastAsia="Calibri" w:cs="Times New Roman"/>
          <w:color w:val="000000"/>
          <w:szCs w:val="28"/>
          <w:lang w:val="nl-NL"/>
        </w:rPr>
      </w:pPr>
      <w:r>
        <w:rPr>
          <w:rFonts w:eastAsia="Calibri" w:cs="Times New Roman"/>
          <w:color w:val="000000"/>
          <w:szCs w:val="28"/>
          <w:lang w:val="nl-NL"/>
        </w:rPr>
        <w:t>Hiệu trưởng:</w:t>
      </w:r>
    </w:p>
    <w:p>
      <w:pPr>
        <w:spacing w:line="360" w:lineRule="auto"/>
        <w:ind w:firstLine="545"/>
        <w:rPr>
          <w:rFonts w:eastAsia="Calibri" w:cs="Times New Roman"/>
          <w:color w:val="000000"/>
          <w:szCs w:val="28"/>
          <w:lang w:val="nl-NL"/>
        </w:rPr>
      </w:pPr>
      <w:r>
        <w:rPr>
          <w:rFonts w:eastAsia="Calibri" w:cs="Times New Roman"/>
          <w:color w:val="000000"/>
          <w:szCs w:val="28"/>
          <w:lang w:val="nl-NL"/>
        </w:rPr>
        <w:lastRenderedPageBreak/>
        <w:t>Gọi số cấp cứu, báo ngay cho cơ quan công an, báo cho lãnh đạo Quận, PGD bằng số báo cáo nhanh để được hỗ trợ. Điều hành nhân viên thực hiện phương án chuyển học sinh đến các bệnh viện và theo dõi diễn tiến để đưa ra cách giải quyết kịp thời. Trấn an CMHS để đảm bảo trật tự.</w:t>
      </w:r>
    </w:p>
    <w:p>
      <w:pPr>
        <w:spacing w:line="360" w:lineRule="auto"/>
        <w:ind w:firstLine="545"/>
        <w:rPr>
          <w:rFonts w:eastAsia="Calibri" w:cs="Times New Roman"/>
          <w:color w:val="000000"/>
          <w:szCs w:val="28"/>
          <w:lang w:val="nl-NL"/>
        </w:rPr>
      </w:pPr>
      <w:r>
        <w:rPr>
          <w:rFonts w:eastAsia="Calibri" w:cs="Times New Roman"/>
          <w:color w:val="000000"/>
          <w:szCs w:val="28"/>
          <w:lang w:val="nl-NL"/>
        </w:rPr>
        <w:t>Phó Hiệu trưởng:</w:t>
      </w:r>
    </w:p>
    <w:p>
      <w:pPr>
        <w:spacing w:line="360" w:lineRule="auto"/>
        <w:ind w:firstLine="545"/>
        <w:rPr>
          <w:rFonts w:eastAsia="Calibri" w:cs="Times New Roman"/>
          <w:color w:val="000000"/>
          <w:szCs w:val="28"/>
          <w:lang w:val="nl-NL"/>
        </w:rPr>
      </w:pPr>
      <w:r>
        <w:rPr>
          <w:rFonts w:eastAsia="Calibri" w:cs="Times New Roman"/>
          <w:color w:val="000000"/>
          <w:szCs w:val="28"/>
          <w:lang w:val="nl-NL"/>
        </w:rPr>
        <w:t>Gọi số cấp cứu 115, gọi xe chuyển học sinh đến bệnh viện, điều động bảo mẫu và giáo viên đi cùng để nắm thông tin phản hồi từ các bệnh viện tại bảng thông báo để CMHS biết.</w:t>
      </w:r>
    </w:p>
    <w:p>
      <w:pPr>
        <w:spacing w:line="360" w:lineRule="auto"/>
        <w:ind w:firstLine="545"/>
        <w:rPr>
          <w:rFonts w:eastAsia="Calibri" w:cs="Times New Roman"/>
          <w:color w:val="000000"/>
          <w:szCs w:val="28"/>
          <w:lang w:val="nl-NL"/>
        </w:rPr>
      </w:pPr>
      <w:r>
        <w:rPr>
          <w:rFonts w:eastAsia="Calibri" w:cs="Times New Roman"/>
          <w:color w:val="000000"/>
          <w:szCs w:val="28"/>
          <w:lang w:val="nl-NL"/>
        </w:rPr>
        <w:t>Chuyên trách y tế:</w:t>
      </w:r>
    </w:p>
    <w:p>
      <w:pPr>
        <w:spacing w:line="360" w:lineRule="auto"/>
        <w:ind w:firstLine="545"/>
        <w:rPr>
          <w:rFonts w:eastAsia="Calibri" w:cs="Times New Roman"/>
          <w:color w:val="000000"/>
          <w:szCs w:val="28"/>
          <w:lang w:val="nl-NL"/>
        </w:rPr>
      </w:pPr>
      <w:r>
        <w:rPr>
          <w:rFonts w:eastAsia="Calibri" w:cs="Times New Roman"/>
          <w:color w:val="000000"/>
          <w:szCs w:val="28"/>
          <w:lang w:val="nl-NL"/>
        </w:rPr>
        <w:t>Di chuyển các em từ lớp học về phòng y tế hoặc điểm thuận lợi để chuyển đến bệnh viện. Kiểm tra chính xác số lượng và nắm tình hình sức khoẻ học sinh để báo cáo.</w:t>
      </w:r>
    </w:p>
    <w:p>
      <w:pPr>
        <w:spacing w:line="360" w:lineRule="auto"/>
        <w:ind w:firstLine="545"/>
        <w:rPr>
          <w:rFonts w:eastAsia="Calibri" w:cs="Times New Roman"/>
          <w:color w:val="000000"/>
          <w:szCs w:val="28"/>
          <w:lang w:val="nl-NL"/>
        </w:rPr>
      </w:pPr>
      <w:r>
        <w:rPr>
          <w:rFonts w:eastAsia="Calibri" w:cs="Times New Roman"/>
          <w:color w:val="000000"/>
          <w:szCs w:val="28"/>
          <w:lang w:val="nl-NL"/>
        </w:rPr>
        <w:t>Giao mẫu thức ăn cho Trung tâm y tế Dự Phòng Quận, có ký nhận đầy đủ tên của người nhận lưu mẫu thức ăn.</w:t>
      </w:r>
    </w:p>
    <w:p>
      <w:pPr>
        <w:spacing w:line="360" w:lineRule="auto"/>
        <w:ind w:firstLine="545"/>
        <w:rPr>
          <w:rFonts w:eastAsia="Calibri" w:cs="Times New Roman"/>
          <w:color w:val="000000"/>
          <w:szCs w:val="28"/>
          <w:lang w:val="nl-NL"/>
        </w:rPr>
      </w:pPr>
      <w:r>
        <w:rPr>
          <w:rFonts w:eastAsia="Calibri" w:cs="Times New Roman"/>
          <w:color w:val="000000"/>
          <w:szCs w:val="28"/>
          <w:lang w:val="nl-NL"/>
        </w:rPr>
        <w:t>Giáo viên chủ nhiệm và bảo mẫu:</w:t>
      </w:r>
    </w:p>
    <w:p>
      <w:pPr>
        <w:spacing w:line="360" w:lineRule="auto"/>
        <w:ind w:firstLine="545"/>
        <w:rPr>
          <w:rFonts w:eastAsia="Calibri" w:cs="Times New Roman"/>
          <w:color w:val="000000"/>
          <w:szCs w:val="28"/>
          <w:lang w:val="nl-NL"/>
        </w:rPr>
      </w:pPr>
      <w:r>
        <w:rPr>
          <w:rFonts w:eastAsia="Calibri" w:cs="Times New Roman"/>
          <w:color w:val="000000"/>
          <w:szCs w:val="28"/>
          <w:lang w:val="nl-NL"/>
        </w:rPr>
        <w:t>Chuyển học sinh của lớp đến bệnh viện theo điều hành của Hiệu trưởng, báo cáo tình hình học sinh từ các bệnh viện và báo cáo tình hình cho gia đình học sinh.</w:t>
      </w:r>
    </w:p>
    <w:p>
      <w:pPr>
        <w:spacing w:line="360" w:lineRule="auto"/>
        <w:ind w:firstLine="545"/>
        <w:rPr>
          <w:rFonts w:eastAsia="Calibri" w:cs="Times New Roman"/>
          <w:color w:val="000000"/>
          <w:szCs w:val="28"/>
          <w:lang w:val="nl-NL"/>
        </w:rPr>
      </w:pPr>
      <w:r>
        <w:rPr>
          <w:rFonts w:eastAsia="Calibri" w:cs="Times New Roman"/>
          <w:color w:val="000000"/>
          <w:szCs w:val="28"/>
          <w:lang w:val="nl-NL"/>
        </w:rPr>
        <w:t>Bảo vệ:</w:t>
      </w:r>
    </w:p>
    <w:p>
      <w:pPr>
        <w:spacing w:line="360" w:lineRule="auto"/>
        <w:ind w:firstLine="545"/>
        <w:rPr>
          <w:rFonts w:eastAsia="Calibri" w:cs="Times New Roman"/>
          <w:color w:val="000000"/>
          <w:szCs w:val="28"/>
          <w:lang w:val="nl-NL"/>
        </w:rPr>
      </w:pPr>
      <w:r>
        <w:rPr>
          <w:rFonts w:eastAsia="Calibri" w:cs="Times New Roman"/>
          <w:color w:val="000000"/>
          <w:szCs w:val="28"/>
          <w:lang w:val="nl-NL"/>
        </w:rPr>
        <w:t>Chốt cửa chính nắm số liệu học sinh đã chuyển đi, phối hợp công an giải quyết trật tự.</w:t>
      </w:r>
    </w:p>
    <w:p>
      <w:pPr>
        <w:spacing w:line="360" w:lineRule="auto"/>
        <w:ind w:firstLine="545"/>
        <w:rPr>
          <w:rFonts w:eastAsia="Calibri" w:cs="Times New Roman"/>
          <w:color w:val="000000"/>
          <w:szCs w:val="28"/>
          <w:lang w:val="nl-NL"/>
        </w:rPr>
      </w:pPr>
      <w:r>
        <w:rPr>
          <w:rFonts w:eastAsia="Calibri" w:cs="Times New Roman"/>
          <w:color w:val="000000"/>
          <w:szCs w:val="28"/>
          <w:lang w:val="nl-NL"/>
        </w:rPr>
        <w:t>Phục vụ và nhân viên văn phòng:</w:t>
      </w:r>
    </w:p>
    <w:p>
      <w:pPr>
        <w:spacing w:line="360" w:lineRule="auto"/>
        <w:ind w:firstLine="545"/>
        <w:rPr>
          <w:rFonts w:eastAsia="Calibri" w:cs="Times New Roman"/>
          <w:color w:val="000000"/>
          <w:szCs w:val="28"/>
          <w:lang w:val="nl-NL"/>
        </w:rPr>
      </w:pPr>
      <w:r>
        <w:rPr>
          <w:rFonts w:eastAsia="Calibri" w:cs="Times New Roman"/>
          <w:color w:val="000000"/>
          <w:szCs w:val="28"/>
          <w:lang w:val="nl-NL"/>
        </w:rPr>
        <w:t>Phối hợp chuyển học sinh trật tự an toàn. Kiểm tra tất cả các vị trí trong trường để phát hiện học sinh kịp thời để giải quyết. Theo dõi số em còn lại tại trường và giữ trật tự trấn an PHHS để tiện giải quyết.</w:t>
      </w:r>
    </w:p>
    <w:p>
      <w:pPr>
        <w:spacing w:line="360" w:lineRule="auto"/>
        <w:ind w:firstLine="545"/>
        <w:rPr>
          <w:rFonts w:eastAsia="Calibri" w:cs="Times New Roman"/>
          <w:color w:val="000000"/>
          <w:szCs w:val="28"/>
          <w:lang w:val="nl-NL"/>
        </w:rPr>
      </w:pPr>
      <w:r>
        <w:rPr>
          <w:rFonts w:eastAsia="Calibri" w:cs="Times New Roman"/>
          <w:color w:val="000000"/>
          <w:szCs w:val="28"/>
          <w:lang w:val="nl-NL"/>
        </w:rPr>
        <w:t>Trực điện thoại nhận thông tin nắm tình hình để báo cáo Lãnh đạo.</w:t>
      </w:r>
    </w:p>
    <w:p>
      <w:pPr>
        <w:spacing w:line="360" w:lineRule="auto"/>
        <w:ind w:firstLine="545"/>
        <w:rPr>
          <w:rFonts w:eastAsia="Calibri" w:cs="Times New Roman"/>
          <w:b/>
          <w:color w:val="000000"/>
          <w:szCs w:val="28"/>
          <w:lang w:val="nl-NL"/>
        </w:rPr>
      </w:pPr>
      <w:r>
        <w:rPr>
          <w:rFonts w:eastAsia="Calibri" w:cs="Times New Roman"/>
          <w:b/>
          <w:color w:val="000000"/>
          <w:szCs w:val="28"/>
          <w:lang w:val="nl-NL"/>
        </w:rPr>
        <w:t>VI. Trách nhiệm giải quyết</w:t>
      </w:r>
    </w:p>
    <w:p>
      <w:pPr>
        <w:spacing w:line="360" w:lineRule="auto"/>
        <w:ind w:firstLine="545"/>
        <w:rPr>
          <w:rFonts w:eastAsia="Calibri" w:cs="Times New Roman"/>
          <w:color w:val="000000"/>
          <w:szCs w:val="28"/>
          <w:lang w:val="nl-NL"/>
        </w:rPr>
      </w:pPr>
      <w:r>
        <w:rPr>
          <w:rFonts w:eastAsia="Calibri" w:cs="Times New Roman"/>
          <w:color w:val="000000"/>
          <w:szCs w:val="28"/>
          <w:lang w:val="nl-NL"/>
        </w:rPr>
        <w:t>Sau khi đã giải quyết cho học sinh an toàn, Ban giám hiệu có trách nhiệm cung cấp đầy đủ các chi tiết với các cơ quan chức năng để làm rõ nguyên nhân xảy ra ngộ độc thực phẩm và qui trách nhiệm cụ thể.</w:t>
      </w:r>
    </w:p>
    <w:p>
      <w:pPr>
        <w:spacing w:line="360" w:lineRule="auto"/>
        <w:ind w:firstLine="545"/>
        <w:rPr>
          <w:rFonts w:eastAsia="Calibri" w:cs="Times New Roman"/>
          <w:color w:val="000000"/>
          <w:szCs w:val="28"/>
          <w:lang w:val="nl-NL"/>
        </w:rPr>
      </w:pPr>
      <w:r>
        <w:rPr>
          <w:rFonts w:eastAsia="Calibri" w:cs="Times New Roman"/>
          <w:color w:val="000000"/>
          <w:szCs w:val="28"/>
          <w:lang w:val="nl-NL"/>
        </w:rPr>
        <w:lastRenderedPageBreak/>
        <w:t> Cơ quan chức năng cùng Ban giám hiệu làm việc trực tiếp với cơ sở nấu ăn và nhũng người có liên quan để giải quyêt hậu quả.</w:t>
      </w:r>
    </w:p>
    <w:p>
      <w:pPr>
        <w:spacing w:line="360" w:lineRule="auto"/>
        <w:ind w:firstLine="545"/>
        <w:rPr>
          <w:rFonts w:eastAsia="Calibri" w:cs="Times New Roman"/>
          <w:color w:val="000000"/>
          <w:szCs w:val="28"/>
          <w:lang w:val="nl-NL"/>
        </w:rPr>
      </w:pPr>
      <w:r>
        <w:rPr>
          <w:rFonts w:eastAsia="Calibri" w:cs="Times New Roman"/>
          <w:color w:val="000000"/>
          <w:szCs w:val="28"/>
          <w:lang w:val="nl-NL"/>
        </w:rPr>
        <w:t>   Ban Giám hiệu có trách nhiệm tiếp và giải quyết các trường hợp phản ánh, thắc mắc của Cha Mẹ Học sinh để tạo sự an tâm và nhanh chóng ổn định hoạt động của nhà trường trong thời gian sớm nhất.</w:t>
      </w:r>
    </w:p>
    <w:p>
      <w:pPr>
        <w:tabs>
          <w:tab w:val="left" w:pos="540"/>
        </w:tabs>
        <w:spacing w:line="360" w:lineRule="auto"/>
        <w:ind w:firstLine="540"/>
        <w:rPr>
          <w:color w:val="FF0000"/>
          <w:szCs w:val="28"/>
        </w:rPr>
      </w:pPr>
      <w:r>
        <w:rPr>
          <w:color w:val="000000"/>
          <w:szCs w:val="28"/>
        </w:rPr>
        <w:t xml:space="preserve">Trên đây là </w:t>
      </w:r>
      <w:r>
        <w:rPr>
          <w:rFonts w:eastAsia="Calibri" w:cs="Times New Roman"/>
          <w:color w:val="000000"/>
          <w:szCs w:val="28"/>
          <w:lang w:val="nl-NL"/>
        </w:rPr>
        <w:t xml:space="preserve">phương án xử lý khi xảy ra ngộ độc thực phẩm </w:t>
      </w:r>
      <w:r>
        <w:rPr>
          <w:color w:val="000000"/>
          <w:szCs w:val="28"/>
        </w:rPr>
        <w:t>năm học 2016 - 2017của trường Tiểu học Quới Xuân./.</w:t>
      </w:r>
    </w:p>
    <w:p>
      <w:pPr>
        <w:spacing w:line="240" w:lineRule="atLeast"/>
        <w:ind w:firstLine="720"/>
        <w:rPr>
          <w:rFonts w:eastAsia="Times New Roman"/>
          <w:i/>
          <w:szCs w:val="28"/>
        </w:rPr>
      </w:pPr>
    </w:p>
    <w:tbl>
      <w:tblPr>
        <w:tblW w:w="9889" w:type="dxa"/>
        <w:tblLook w:val="01E0"/>
      </w:tblPr>
      <w:tblGrid>
        <w:gridCol w:w="4928"/>
        <w:gridCol w:w="709"/>
        <w:gridCol w:w="4252"/>
      </w:tblGrid>
      <w:tr>
        <w:tc>
          <w:tcPr>
            <w:tcW w:w="4928" w:type="dxa"/>
          </w:tcPr>
          <w:p>
            <w:pPr>
              <w:rPr>
                <w:b/>
                <w:i/>
                <w:sz w:val="24"/>
                <w:szCs w:val="24"/>
              </w:rPr>
            </w:pPr>
            <w:r>
              <w:rPr>
                <w:b/>
                <w:i/>
                <w:sz w:val="24"/>
                <w:szCs w:val="24"/>
              </w:rPr>
              <w:t>Nơi nhận:</w:t>
            </w:r>
          </w:p>
          <w:p>
            <w:pPr>
              <w:rPr>
                <w:sz w:val="22"/>
              </w:rPr>
            </w:pPr>
            <w:r>
              <w:rPr>
                <w:sz w:val="22"/>
              </w:rPr>
              <w:t>-  P.GD&amp;ĐT; (b/c);</w:t>
            </w:r>
          </w:p>
          <w:p>
            <w:pPr>
              <w:rPr>
                <w:sz w:val="22"/>
              </w:rPr>
            </w:pPr>
            <w:r>
              <w:rPr>
                <w:sz w:val="22"/>
              </w:rPr>
              <w:t>- Lưu: VT.</w:t>
            </w:r>
          </w:p>
          <w:p>
            <w:pPr>
              <w:rPr>
                <w:sz w:val="26"/>
                <w:szCs w:val="26"/>
              </w:rPr>
            </w:pPr>
          </w:p>
        </w:tc>
        <w:tc>
          <w:tcPr>
            <w:tcW w:w="709" w:type="dxa"/>
          </w:tcPr>
          <w:p>
            <w:pPr>
              <w:jc w:val="center"/>
              <w:rPr>
                <w:b/>
                <w:szCs w:val="28"/>
              </w:rPr>
            </w:pPr>
          </w:p>
          <w:p>
            <w:pPr>
              <w:jc w:val="center"/>
              <w:rPr>
                <w:b/>
                <w:szCs w:val="28"/>
              </w:rPr>
            </w:pPr>
          </w:p>
          <w:p>
            <w:pPr>
              <w:jc w:val="center"/>
              <w:rPr>
                <w:b/>
                <w:szCs w:val="28"/>
              </w:rPr>
            </w:pPr>
          </w:p>
          <w:p>
            <w:pPr>
              <w:jc w:val="center"/>
              <w:rPr>
                <w:b/>
                <w:szCs w:val="28"/>
              </w:rPr>
            </w:pPr>
          </w:p>
          <w:p>
            <w:pPr>
              <w:jc w:val="center"/>
              <w:rPr>
                <w:b/>
                <w:szCs w:val="28"/>
              </w:rPr>
            </w:pPr>
          </w:p>
          <w:p>
            <w:pPr>
              <w:jc w:val="center"/>
              <w:rPr>
                <w:b/>
                <w:szCs w:val="28"/>
              </w:rPr>
            </w:pPr>
          </w:p>
          <w:p>
            <w:pPr>
              <w:jc w:val="center"/>
              <w:rPr>
                <w:b/>
                <w:szCs w:val="28"/>
              </w:rPr>
            </w:pPr>
          </w:p>
        </w:tc>
        <w:tc>
          <w:tcPr>
            <w:tcW w:w="4252" w:type="dxa"/>
          </w:tcPr>
          <w:p>
            <w:pPr>
              <w:jc w:val="center"/>
              <w:rPr>
                <w:b/>
                <w:szCs w:val="28"/>
              </w:rPr>
            </w:pPr>
            <w:r>
              <w:rPr>
                <w:b/>
                <w:szCs w:val="28"/>
              </w:rPr>
              <w:t>HIỆU TRƯỞNG</w:t>
            </w:r>
          </w:p>
          <w:p>
            <w:pPr>
              <w:tabs>
                <w:tab w:val="left" w:pos="1823"/>
              </w:tabs>
              <w:rPr>
                <w:b/>
                <w:szCs w:val="28"/>
              </w:rPr>
            </w:pPr>
          </w:p>
          <w:p>
            <w:pPr>
              <w:rPr>
                <w:b/>
                <w:szCs w:val="28"/>
              </w:rPr>
            </w:pPr>
          </w:p>
          <w:p>
            <w:pPr>
              <w:rPr>
                <w:b/>
                <w:szCs w:val="28"/>
              </w:rPr>
            </w:pPr>
          </w:p>
          <w:p>
            <w:pPr>
              <w:rPr>
                <w:b/>
                <w:szCs w:val="28"/>
              </w:rPr>
            </w:pPr>
          </w:p>
          <w:p>
            <w:pPr>
              <w:jc w:val="center"/>
              <w:rPr>
                <w:b/>
                <w:szCs w:val="28"/>
              </w:rPr>
            </w:pPr>
            <w:r>
              <w:rPr>
                <w:b/>
                <w:szCs w:val="28"/>
              </w:rPr>
              <w:t>Trần Thị Ngọc Châu</w:t>
            </w:r>
          </w:p>
        </w:tc>
      </w:tr>
    </w:tbl>
    <w:p>
      <w:pPr>
        <w:rPr>
          <w:rFonts w:ascii="Arial" w:hAnsi="Arial" w:cs="Arial"/>
        </w:rPr>
      </w:pPr>
    </w:p>
    <w:p>
      <w:pPr>
        <w:tabs>
          <w:tab w:val="left" w:pos="6825"/>
        </w:tabs>
        <w:rPr>
          <w:b/>
          <w:i/>
        </w:rPr>
      </w:pPr>
      <w:r>
        <w:rPr>
          <w:rFonts w:ascii="Arial" w:hAnsi="Arial" w:cs="Arial"/>
        </w:rPr>
        <w:t xml:space="preserve">                                                                          </w:t>
      </w:r>
    </w:p>
    <w:p>
      <w:pPr>
        <w:spacing w:line="276" w:lineRule="auto"/>
        <w:rPr>
          <w:rFonts w:cs="Times New Roman"/>
          <w:szCs w:val="28"/>
        </w:rPr>
      </w:pPr>
    </w:p>
    <w:sectPr>
      <w:pgSz w:w="11907" w:h="16840" w:code="9"/>
      <w:pgMar w:top="1134" w:right="850" w:bottom="1134" w:left="1276" w:header="454" w:footer="454"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6739"/>
    <w:multiLevelType w:val="multilevel"/>
    <w:tmpl w:val="800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apple-tab-span">
    <w:name w:val="apple-tab-span"/>
    <w:basedOn w:val="DefaultParagraphFont"/>
  </w:style>
  <w:style w:type="character" w:customStyle="1" w:styleId="Heading9Char">
    <w:name w:val="Heading 9 Char"/>
    <w:basedOn w:val="DefaultParagraphFont"/>
    <w:link w:val="Heading9"/>
    <w:rPr>
      <w:rFonts w:ascii="Arial" w:eastAsia="Times New Roman" w:hAnsi="Arial" w:cs="Arial"/>
      <w:sz w:val="22"/>
    </w:rPr>
  </w:style>
</w:styles>
</file>

<file path=word/webSettings.xml><?xml version="1.0" encoding="utf-8"?>
<w:webSettings xmlns:r="http://schemas.openxmlformats.org/officeDocument/2006/relationships" xmlns:w="http://schemas.openxmlformats.org/wordprocessingml/2006/main">
  <w:divs>
    <w:div w:id="193640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7</cp:revision>
  <dcterms:created xsi:type="dcterms:W3CDTF">2016-12-20T02:53:00Z</dcterms:created>
  <dcterms:modified xsi:type="dcterms:W3CDTF">2016-12-20T03:19:00Z</dcterms:modified>
</cp:coreProperties>
</file>